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1.1项目名称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百色高中智能化设备维保服务项目</w:t>
      </w:r>
    </w:p>
    <w:p>
      <w:pPr>
        <w:pStyle w:val="3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1.2维保对象与内容</w:t>
      </w:r>
    </w:p>
    <w:p>
      <w:pPr>
        <w:pStyle w:val="27"/>
        <w:tabs>
          <w:tab w:val="left" w:pos="0"/>
        </w:tabs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维保对象：百色高级中学所属的</w:t>
      </w:r>
      <w:r>
        <w:rPr>
          <w:rFonts w:hint="eastAsia" w:ascii="宋体" w:hAnsi="宋体" w:cs="宋体"/>
          <w:bCs/>
          <w:color w:val="000000"/>
          <w:szCs w:val="21"/>
        </w:rPr>
        <w:t>智能化系统的软硬件的维保及设备维修。</w:t>
      </w:r>
    </w:p>
    <w:p>
      <w:pPr>
        <w:pStyle w:val="27"/>
        <w:tabs>
          <w:tab w:val="left" w:pos="0"/>
        </w:tabs>
        <w:spacing w:line="360" w:lineRule="auto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现有设备数量如下：</w:t>
      </w:r>
    </w:p>
    <w:tbl>
      <w:tblPr>
        <w:tblStyle w:val="1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85"/>
        <w:gridCol w:w="701"/>
        <w:gridCol w:w="425"/>
        <w:gridCol w:w="3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项号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一、网络设备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出口防火墙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S7506E-S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48口千兆接入交换机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SMB-S5048PV2-EI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24口千兆接入接入交换机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SMB-S5024PV2-EI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单模模块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SFP-GE-LX-SM1310-A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网络管理平台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IMC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中心机房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1、基础装修工程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铝扣板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铝扣板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墙面彩钢板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防静电地板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600*600*35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防火防盗门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镀锌桥架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200mm*100mm*1.5mm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边角线、焊条等相关材料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2、配电系统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开关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4位开关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五孔位插座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TCL10A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照明灯具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PAK560132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主电缆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ZR-YJV4*50mm2+1*35mm2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UPS电缆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YJV4*25＋1×16m²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空调电源线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YJV4*16＋1×10m²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机柜电源线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RVV3*6m²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UPS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YTR1110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3、防雷接地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接地线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25mm2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40*4mm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4、精密空调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精密空调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CyberMate512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5、气体消防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柜式七氟丙烷灭火装置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GQQ90/2.5SF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七氟丙烷灭火药剂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㎏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HFC-227ea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气体灭火控制器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JB-QB-EIN70/1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紧急启停按钮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J-EI6066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声光报警器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J-EI6084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放气指示灯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J-EI6067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感烟探测器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JTY-GD-EI6012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感温探测器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JTW-A2R-EI6013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泄压口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FXYJ-I(0.1m2)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应急灯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AE-ZFZD-E1W-662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安全出口指示灯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盏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AE-BLZD-2LROEI1W-830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辅助材料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电工胶布、绑线带、波纹管等相关辅材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三、综合布线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六类非屏蔽双绞线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HSYV-6（DTT-C6）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六类非屏蔽水晶头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DTT-H6-1080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六类非屏蔽模块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DTT-M6-1181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语音模块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DTT-M3-1141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六类2米跳线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DTT-A6-1208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超五类水晶头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DTT-H5-1080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24口六类配线架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DTT-P6-1242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48口六类配线架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DTT-P6-1482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DTT-W5-3000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单口信息面板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DTT-F5-1011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双口信息面板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DTT-F5-1021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底盒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42U服务器机柜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PSR8942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42U网络机柜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ND6642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24U网络机柜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ND6624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24口光纤配线架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DTT-GPZJ-24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12芯单模光纤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DTT-GYTA-12B1.3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12口光纤配线架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DTT-GPZJ-12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耦合器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DTT-OA-LC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单模尾纤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DTT-DOW-LC/LC-B1.3-3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单模光纤跳线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DTT-DOW-LC/LC-B1.3-3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4芯电话线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DTT-C3-11028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50对RJ11配线架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DTT-W5-1052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电工胶布、绑线带、波纹管等相关辅材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四、模拟公共广播系统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智能广播系统控制器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编程控制调谐器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编程控制CD机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八进八出前置放大器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消防信号智能接口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AK-3232A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报警信号发生器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十六位电源时序器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二十位监听器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远程寻呼话筒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本地寻呼话筒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纯后级功放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纯后级功放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纯后级功放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合并式功放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AK-775W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42U机柜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ND6642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CD播放器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一拖二无线手持话筒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MR-803MH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合并式功放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AK-038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24U机柜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ND6624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五、监控系统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红外高清枪型摄像机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DS-2CD2T10FD-I3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高清红外球机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DS-2DE5120I-A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摄像机电源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12V2A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高清网络录像机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DS-8664N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希捷、4T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解码器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DS-6416HD-T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监控电脑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启天M4500-B417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46寸液晶拼接屏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M46PJCH-DS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电视墙机柜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按照46寸2x3拼接尺寸定制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5P空调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KFR-120LW/E(12568L)A1-N1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操作台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TL-SG1016T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TL-SG1024T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42U机柜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ND6642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光纤收发器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FC830AGPS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室外设备箱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六、礼堂LED系统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发送卡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SD-300E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接收卡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编辑/播放软件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LED-Play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CL5-40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大屏拼接器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UTB1000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播放电脑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启天M4500-B417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钢结构及装饰包边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屏幕线材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七、数字广播系统深化设计、增补设备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一、机房主设备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网络IP中控主机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IP网络广播服务器软件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T-6700R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数字IP服务器软件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T-6700KEY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CD机播放器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调谐器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网络对讲远程话筒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本地话筒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监听音箱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网络消防信号接口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T-6223(A)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数据转换IP终端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前置放大器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二、前端设备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1、1#教学楼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2.2#教学楼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3.3#教学楼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4.4#教学楼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5.实验楼教室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6.图书馆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机柜式网络广播终端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室内豪华壁挂音箱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7.食堂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室内豪华壁挂音箱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8.艺术楼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吸顶音箱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9.体育馆1,2楼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一拖二无线手持话筒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T-521UH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10.宿舍1#栋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11.宿舍2#栋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12.宿舍3#栋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13.宿舍4#栋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14.宿舍5#栋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15.宿舍6#栋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16.宿舍7#栋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17.田径场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机柜式网络广播终端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前置放大器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纯后机广播功放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纯后机广播功放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IP网络音频采集终端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一拖二无线手持话筒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T-521UH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天线分配器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T-522A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无线话筒天线放大器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T-522B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有线话筒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TS-338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CD机播放器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多媒体防水地插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18：实验楼前中心广场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19：校园绿化带各分区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（1）、实验楼、1#-2#教学楼室外绿化带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户外仿真草地音箱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（2）3#-4#教学楼、艺术楼、行政楼室外绿化带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户外仿真草地音箱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（3）宿舍区室外绿化带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户外仿真草地音箱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（4）食堂、公共绿地室外绿化带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户外仿真草地音箱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(5)体育馆、景观平台室外绿化带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户外仿真草地音箱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20.保安室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壁挂式网络广播终端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室内豪华壁挂音箱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T-601SSR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三、辅材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DTT-C5-11048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RVV2*1.0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RVV2*1.0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RVV3*1.0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syv-75-5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TL-SF1008VE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TL-SF1008VE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TL-SF1048S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TL-SF1024D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收发器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ZXT101-WBS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SC-lC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音柱立杆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八、监控系统深化设计、增补设备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红外高清枪型摄像机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DS-2CD2T10FD-I3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12V2A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网络高清红外球机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DS-2DE5120I-A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DS-8664N-I16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监控级硬盘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ST4000VX000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平台一体机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IVMS-9600E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流媒体服务器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IS-VSE2326B-BBC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网络键盘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DS-1100K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客户端管理软件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iVMS-4200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监控级高端TF卡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DS-UTF64G-H1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拼接屏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M46PJCH-DS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拼接屏机柜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室外设备箱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TL-SF1048S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12口光纤配线架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DTT-GPZJ-12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耦合器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DTT-OA-LC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单模尾纤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DTT-DOW-LC/LC-B1.3-3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单模光纤跳线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DTT-DOW-LC/LC-B1.3-3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32寸液晶监视器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ANDY-LCD3201H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监视器壁挂支架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国产定制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H.265高清解码器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DS-6904UD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HDMI线缆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5米HDMI线缆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网络键盘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DS-1100K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九、增补中心机房监控、数字广播核心设备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H3C、S7003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前置放大器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数字IP服务器软件加密狗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T-6700KEY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十、增补食堂监控设备、数字广播功放（工程联系单8）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鱼眼全景日夜型网络摄像机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DS-2CD2942F-I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红外高清枪型摄像机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DS-2CD2T10FD-I3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12V2A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DS-8632N-I8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监控级硬盘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ST4000VX000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十一、增补医务室监控系统及行政楼用数字广播增补（工程联系单10）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红外高清枪型摄像机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DS-2CD2T10FD-I3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摄像机电源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12V2A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T-67350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T-904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十二、增补中心机房监控系统设备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硬盘录像机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DS-8664N-I16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监控硬盘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希捷、ST4000VX000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十三、增补食堂及艺术楼监控系统设备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枪式摄像头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DS-2CD3T25-I5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半球摄像头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DS-2CD3325-I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32寸显示屏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AOC、M2095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HDMI信号延长器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国产、一分四带HDMI线6条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16口千兆POE交换机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DS-3E0318P-E/M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5口交换机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TL-SF1005M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DS-8832N-K8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监控专用硬盘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希捷、ST4000VX000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十四、行政楼旁P5户外全彩高清显示大屏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P5-SMD1921-8S-320*160(H)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接收卡系统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G612-网品卡-128*768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视频处理器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Sv4pro-HDMI-VGA-DVI-USB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开关电源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30W-5V-60A-110V-220V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播放电脑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十五、跑操广播系统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立杆水泥沙混凝土基础墩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T-904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豪华防水音柱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T-902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IP定压终端服务器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T-67240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户外草地音箱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T-300B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24U机柜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DTT-C5-11048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RVV2*2.5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PVC管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直径20mm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户外监控广播立杆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十六、田径场户外全彩高清显示大屏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（1）显示屏部分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LED显示屏</w:t>
            </w:r>
          </w:p>
        </w:tc>
        <w:tc>
          <w:tcPr>
            <w:tcW w:w="4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46.08</w:t>
            </w:r>
          </w:p>
        </w:tc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像素封装 SMD1921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像素间距（mm）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模组分辨率（W×H） 64X32=2048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模组尺寸（mm） 320（W）×160（H）×18.8（D）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模组重量（kg） 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模组输入电压 4.5V～5V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模组最大功耗（W） ≤41.5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电源带载量（40A） 4块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像素密度（Pixel/m2） 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逐点色度、亮度校正技术 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白平衡亮度（nits）4000-5000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标准色温（K） 6500K (1000K～9500K可调)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视角（水平/垂直°） 140/140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发光点中心距偏差 &lt;3%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亮度/色度均匀性 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对比度 5000:1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最大功耗（W/m2）1221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平均功耗 (W/m2) 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供电要求 AC90～132V/ AC186～264V，频率47-63（Hz）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安全特性 GB4943/EN60950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换帧频率 60Hz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驱动方式 恒流驱动/8扫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灰度级别 16384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刷新率 1920Hz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颜色处理位数 14bit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寿命典型值（hrs） 100,000H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工作温/湿度范围 -20℃–50℃  / 10%-65%RH（无结露）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存储温/湿度范围 -20℃–30℃  / 10%-60%RH（无结露）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适用标准 SJT 11141-2017、GB/T 26125-2011、GB/T 26572-2001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LED电源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200W,4.5V40A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系统接收卡</w:t>
            </w:r>
          </w:p>
        </w:tc>
        <w:tc>
          <w:tcPr>
            <w:tcW w:w="4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1、集成12个标准HUB75E接口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2、常规芯片高刷新、高亮度、高灰度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3、支持亮度、色度逐点校正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4、支持更换卡智能恢复功能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5、支持网线热备份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6、支持任意行、列抽点实现各种异形调试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7、支持画面90°倍数旋转、画面缩放功能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8、支持数据接口自定义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9、符合RoHS标准，符合CE-EMC标准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视频处理器</w:t>
            </w:r>
          </w:p>
        </w:tc>
        <w:tc>
          <w:tcPr>
            <w:tcW w:w="4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1、四网口输出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2、支持双画面、预设画中画、画外画显示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3、自带DVI环出，支持多机级联无限拼接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4、软件一键回读恢复功能、维修更换无需重新调试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5、多路信号无缝切换，支持淡入淡出特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简易箱体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46.08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简易箱体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排风机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350mm/180W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LED显示屏播控软件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横幅屏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10.81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P10户外表贴单红显示屏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具有定时开关功能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钢结构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主网线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主电源线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控制电脑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六核i5-11400/8G/1TB+256G固态/核显/无光驱/wifi/蓝牙/VGA/HDMI/网络同传/键鼠/W10/7升/21.5寸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音响+功放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（2）户外音响设备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</w:rPr>
              <w:t>防水双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15音响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双15音响功放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带声卡调音台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电源时序器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真分集无线话筒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真分集头戴话筒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线材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机柜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7"/>
        <w:tabs>
          <w:tab w:val="left" w:pos="0"/>
        </w:tabs>
        <w:spacing w:line="360" w:lineRule="auto"/>
        <w:rPr>
          <w:rFonts w:ascii="宋体" w:hAnsi="宋体" w:cs="宋体"/>
          <w:bCs/>
          <w:color w:val="000000"/>
          <w:szCs w:val="21"/>
        </w:rPr>
      </w:pPr>
    </w:p>
    <w:p>
      <w:pPr>
        <w:pStyle w:val="27"/>
        <w:tabs>
          <w:tab w:val="left" w:pos="0"/>
        </w:tabs>
        <w:spacing w:line="360" w:lineRule="auto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承包服务内容：对上述各个子系统故障维修，零部件更换，设备的清洁保养、调整及小规模迁移拆装、更换配件等。</w:t>
      </w:r>
    </w:p>
    <w:p>
      <w:pPr>
        <w:pStyle w:val="3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1.3项目服务期限</w:t>
      </w:r>
    </w:p>
    <w:p>
      <w:pPr>
        <w:pStyle w:val="27"/>
        <w:spacing w:before="156" w:line="360" w:lineRule="auto"/>
        <w:ind w:firstLine="371" w:firstLineChars="177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服务期限12个月。</w:t>
      </w:r>
    </w:p>
    <w:p>
      <w:pPr>
        <w:pStyle w:val="3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</w:rPr>
        <w:t>1.4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其他要求</w:t>
      </w:r>
    </w:p>
    <w:p>
      <w:pPr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 xml:space="preserve">   1.4.1 每月不少于2次派出专业维修人员对智能化系统进行巡检，并及时对智能化系统可能存在的故障进行分析、预测，并在每次巡查结束后及时出具载明工作时间、处理项目、处理结果等内容的书面巡查报告交给学校。</w:t>
      </w:r>
    </w:p>
    <w:p>
      <w:pPr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 xml:space="preserve">   1.4.2 在合同有效期间，为了智能化系统故障修复的及时性，提高智能化系统运行效率，应免费提供部分易损件的更换和维修服务（详见附下图《免费提供易损件更换和维修清单》)。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4928235" cy="3166110"/>
            <wp:effectExtent l="0" t="0" r="0" b="0"/>
            <wp:docPr id="1" name="图片 1" descr="QQ截图2023121917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1219170105"/>
                    <pic:cNvPicPr>
                      <a:picLocks noChangeAspect="1"/>
                    </pic:cNvPicPr>
                  </pic:nvPicPr>
                  <pic:blipFill>
                    <a:blip r:embed="rId6"/>
                    <a:srcRect l="3865" t="5853" r="2697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1.4.3 高考前一个月至少2次配合甲方运行听力测试，并做相应培训。高考期间做运行维护服务。</w:t>
      </w:r>
    </w:p>
    <w:p>
      <w:pPr>
        <w:ind w:firstLine="560" w:firstLineChars="200"/>
        <w:rPr>
          <w:rFonts w:hint="default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1.4.4 合同期间，系统出现故障需要处理时，应及时响应，一般故障应在24小时内处理完毕，原则上不超过48小时。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1.4.5 此外经过我校现场检查，发现存在如下隐患：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（1）田径场户外LED大屏内箱体内缺乏照明，建议田径场户外LED大屏内箱体需要新增加8个LED灯盘（棱晶灯片）照明点，方便维护。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（2）原有已安装在体育馆南面外墙上5米处的3个摄像头位置过高，存在监控盲区，需要迁移这3个监控点至学校指定位置，实现监控盲区的覆盖。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（3）广播系统遗漏的3根室外广播音箱立杆（配套地笼），需要补充安装在学校指定地方。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（4）广播系统教室用广播终端T-6706共计2个存在故障，需要送修。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 xml:space="preserve">（5）广播系统室外草地音箱年久失修损坏10个，需要送修或者新购替代。 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（6）广播系统学校东北角2个室外草地音箱因垃圾站修建原因线路被挖伤，需要重新敷设线缆80米。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（7）监控系统已经损坏的硬盘7个，建议更换为新硬盘（192.168.1.4的NVR损坏的硬盘2个，192.168.1.7的NVR损坏的硬盘1个，192.168.1.13的NVR损坏的硬盘4个）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（8）监控系统3台 NVR存在故障，需要送修。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（9）礼堂P5彩色LED大屏接收板已出现故障，须购买同型号备用板2块。品牌：深圳洲明，规格型号：RV300-1 Unilumin</w:t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6102W136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（10）中心机房柜式七氟丙烷气体灭火装置灭火剂瓶组（即钢瓶）2</w:t>
      </w:r>
      <w:bookmarkStart w:id="0" w:name="_GoBack"/>
      <w:bookmarkEnd w:id="0"/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瓶已经处于超年限使用，七氟丙烷气体灭火装置灭火剂瓶组（即钢瓶）定期检测及更换。</w:t>
      </w:r>
    </w:p>
    <w:p>
      <w:pPr>
        <w:ind w:firstLine="560" w:firstLineChars="200"/>
        <w:rPr>
          <w:rFonts w:hint="default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/>
          <w:sz w:val="28"/>
          <w:szCs w:val="28"/>
          <w:lang w:val="en-US" w:eastAsia="zh-CN"/>
        </w:rPr>
        <w:t>中标公司须将以上内容列入维保范围，不再额外收取费用。</w:t>
      </w:r>
    </w:p>
    <w:p>
      <w:pPr>
        <w:ind w:firstLine="560" w:firstLineChars="200"/>
        <w:rPr>
          <w:rFonts w:hint="eastAsia"/>
          <w:b w:val="0"/>
          <w:bCs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78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02902"/>
    <w:multiLevelType w:val="multilevel"/>
    <w:tmpl w:val="4F302902"/>
    <w:lvl w:ilvl="0" w:tentative="0">
      <w:start w:val="1"/>
      <w:numFmt w:val="none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pStyle w:val="3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zNjOWEwMjRkMjM4MGQ0OTdmNTQ5ODFhNDIxMGYifQ=="/>
  </w:docVars>
  <w:rsids>
    <w:rsidRoot w:val="00E43365"/>
    <w:rsid w:val="00020235"/>
    <w:rsid w:val="000524C2"/>
    <w:rsid w:val="000A2BF1"/>
    <w:rsid w:val="000E3E50"/>
    <w:rsid w:val="00125DAA"/>
    <w:rsid w:val="00174A80"/>
    <w:rsid w:val="0018777A"/>
    <w:rsid w:val="0019425F"/>
    <w:rsid w:val="001D49C2"/>
    <w:rsid w:val="00250FB5"/>
    <w:rsid w:val="002C47A0"/>
    <w:rsid w:val="002C6DD5"/>
    <w:rsid w:val="002F6344"/>
    <w:rsid w:val="00334C4D"/>
    <w:rsid w:val="00361AE4"/>
    <w:rsid w:val="003C3493"/>
    <w:rsid w:val="00423D2C"/>
    <w:rsid w:val="00440AD2"/>
    <w:rsid w:val="0045166B"/>
    <w:rsid w:val="004A2E8A"/>
    <w:rsid w:val="00536CB8"/>
    <w:rsid w:val="00563A89"/>
    <w:rsid w:val="00782535"/>
    <w:rsid w:val="00832460"/>
    <w:rsid w:val="008A3722"/>
    <w:rsid w:val="008B0376"/>
    <w:rsid w:val="0094726E"/>
    <w:rsid w:val="00955B2E"/>
    <w:rsid w:val="00961226"/>
    <w:rsid w:val="00964EE9"/>
    <w:rsid w:val="009766A2"/>
    <w:rsid w:val="00992FAB"/>
    <w:rsid w:val="00A81680"/>
    <w:rsid w:val="00AB71CE"/>
    <w:rsid w:val="00AD0F4C"/>
    <w:rsid w:val="00B567A8"/>
    <w:rsid w:val="00B67EBF"/>
    <w:rsid w:val="00BD6794"/>
    <w:rsid w:val="00C026F9"/>
    <w:rsid w:val="00CF5CA6"/>
    <w:rsid w:val="00D011CB"/>
    <w:rsid w:val="00D14292"/>
    <w:rsid w:val="00D70D17"/>
    <w:rsid w:val="00D715A0"/>
    <w:rsid w:val="00D743F2"/>
    <w:rsid w:val="00E43365"/>
    <w:rsid w:val="00E874AE"/>
    <w:rsid w:val="00F71D6E"/>
    <w:rsid w:val="00F83686"/>
    <w:rsid w:val="00F93753"/>
    <w:rsid w:val="00FC22FC"/>
    <w:rsid w:val="01560413"/>
    <w:rsid w:val="017B27D5"/>
    <w:rsid w:val="1A3B4FEC"/>
    <w:rsid w:val="216A5F37"/>
    <w:rsid w:val="33B02685"/>
    <w:rsid w:val="3AC03628"/>
    <w:rsid w:val="3CAA6BF4"/>
    <w:rsid w:val="403E4E92"/>
    <w:rsid w:val="456A6C87"/>
    <w:rsid w:val="50424731"/>
    <w:rsid w:val="57DE6F2F"/>
    <w:rsid w:val="5C52446F"/>
    <w:rsid w:val="5EE0663D"/>
    <w:rsid w:val="6113099A"/>
    <w:rsid w:val="66636D09"/>
    <w:rsid w:val="705C54C0"/>
    <w:rsid w:val="7CC55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after="120"/>
      <w:outlineLvl w:val="2"/>
    </w:pPr>
    <w:rPr>
      <w:rFonts w:ascii="宋体" w:hAnsi="宋体" w:cs="宋体"/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after="120"/>
      <w:outlineLvl w:val="3"/>
    </w:pPr>
    <w:rPr>
      <w:rFonts w:ascii="宋体" w:hAnsi="宋体" w:cs="宋体"/>
      <w:b/>
      <w:bCs/>
      <w:sz w:val="24"/>
      <w:szCs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after="120"/>
      <w:outlineLvl w:val="4"/>
    </w:pPr>
    <w:rPr>
      <w:rFonts w:ascii="宋体" w:hAnsi="宋体" w:cs="宋体"/>
      <w:b/>
      <w:bCs/>
      <w:sz w:val="24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after="120"/>
      <w:outlineLvl w:val="5"/>
    </w:pPr>
    <w:rPr>
      <w:rFonts w:ascii="宋体" w:hAnsi="宋体" w:cs="宋体"/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9">
    <w:name w:val="annotation text"/>
    <w:basedOn w:val="1"/>
    <w:unhideWhenUsed/>
    <w:qFormat/>
    <w:uiPriority w:val="99"/>
  </w:style>
  <w:style w:type="paragraph" w:styleId="10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Times New Roman"/>
      <w:kern w:val="0"/>
      <w:sz w:val="28"/>
      <w:szCs w:val="20"/>
    </w:rPr>
  </w:style>
  <w:style w:type="paragraph" w:styleId="11">
    <w:name w:val="Body Text Indent"/>
    <w:basedOn w:val="1"/>
    <w:unhideWhenUsed/>
    <w:qFormat/>
    <w:uiPriority w:val="99"/>
    <w:pPr>
      <w:ind w:firstLine="830" w:firstLineChars="352"/>
    </w:pPr>
    <w:rPr>
      <w:rFonts w:ascii="仿宋_GB2312" w:eastAsia="仿宋_GB2312"/>
      <w:sz w:val="32"/>
      <w:szCs w:val="32"/>
    </w:rPr>
  </w:style>
  <w:style w:type="paragraph" w:styleId="12">
    <w:name w:val="Balloon Text"/>
    <w:basedOn w:val="1"/>
    <w:link w:val="35"/>
    <w:qFormat/>
    <w:uiPriority w:val="0"/>
    <w:rPr>
      <w:sz w:val="18"/>
      <w:szCs w:val="18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标题 3 Char"/>
    <w:basedOn w:val="18"/>
    <w:link w:val="4"/>
    <w:qFormat/>
    <w:uiPriority w:val="9"/>
    <w:rPr>
      <w:rFonts w:ascii="宋体" w:hAnsi="宋体" w:eastAsia="宋体" w:cs="宋体"/>
      <w:b/>
      <w:bCs/>
      <w:sz w:val="24"/>
      <w:szCs w:val="32"/>
    </w:rPr>
  </w:style>
  <w:style w:type="character" w:customStyle="1" w:styleId="2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4">
    <w:name w:val="标题3 Char"/>
    <w:link w:val="25"/>
    <w:qFormat/>
    <w:uiPriority w:val="0"/>
    <w:rPr>
      <w:rFonts w:ascii="宋体" w:hAnsi="宋体" w:eastAsia="宋体" w:cs="Times New Roman"/>
      <w:sz w:val="30"/>
    </w:rPr>
  </w:style>
  <w:style w:type="paragraph" w:customStyle="1" w:styleId="25">
    <w:name w:val="标题3"/>
    <w:basedOn w:val="4"/>
    <w:link w:val="24"/>
    <w:qFormat/>
    <w:uiPriority w:val="0"/>
    <w:rPr>
      <w:rFonts w:cs="Times New Roman"/>
      <w:sz w:val="30"/>
    </w:rPr>
  </w:style>
  <w:style w:type="paragraph" w:customStyle="1" w:styleId="2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标题4"/>
    <w:basedOn w:val="5"/>
    <w:qFormat/>
    <w:uiPriority w:val="0"/>
    <w:rPr>
      <w:rFonts w:ascii="Arial" w:hAnsi="Arial" w:cs="Times New Roman"/>
      <w:sz w:val="30"/>
    </w:rPr>
  </w:style>
  <w:style w:type="paragraph" w:customStyle="1" w:styleId="29">
    <w:name w:val="标题5（1）"/>
    <w:basedOn w:val="6"/>
    <w:next w:val="1"/>
    <w:qFormat/>
    <w:uiPriority w:val="0"/>
    <w:pPr>
      <w:keepNext w:val="0"/>
      <w:keepLines w:val="0"/>
      <w:widowControl/>
      <w:spacing w:after="0"/>
      <w:ind w:right="100" w:rightChars="100"/>
      <w:contextualSpacing/>
      <w:jc w:val="left"/>
    </w:pPr>
    <w:rPr>
      <w:rFonts w:cs="Times New Roman"/>
      <w:bCs w:val="0"/>
      <w:iCs/>
      <w:kern w:val="0"/>
      <w:szCs w:val="24"/>
    </w:rPr>
  </w:style>
  <w:style w:type="paragraph" w:customStyle="1" w:styleId="30">
    <w:name w:val="章标题"/>
    <w:next w:val="26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表格"/>
    <w:basedOn w:val="1"/>
    <w:qFormat/>
    <w:uiPriority w:val="0"/>
    <w:pPr>
      <w:tabs>
        <w:tab w:val="left" w:pos="426"/>
      </w:tabs>
    </w:pPr>
    <w:rPr>
      <w:rFonts w:ascii="宋体" w:hAnsi="宋体" w:cs="宋体"/>
      <w:color w:val="000000"/>
    </w:rPr>
  </w:style>
  <w:style w:type="paragraph" w:customStyle="1" w:styleId="32">
    <w:name w:val="标题6"/>
    <w:basedOn w:val="7"/>
    <w:next w:val="1"/>
    <w:qFormat/>
    <w:uiPriority w:val="0"/>
    <w:pPr>
      <w:spacing w:before="240" w:after="64" w:line="320" w:lineRule="auto"/>
    </w:pPr>
    <w:rPr>
      <w:rFonts w:ascii="Cambria" w:hAnsi="Cambria" w:cs="Times New Roman"/>
    </w:rPr>
  </w:style>
  <w:style w:type="paragraph" w:customStyle="1" w:styleId="33">
    <w:name w:val="正文2"/>
    <w:basedOn w:val="1"/>
    <w:qFormat/>
    <w:uiPriority w:val="0"/>
    <w:pPr>
      <w:ind w:firstLine="420"/>
    </w:pPr>
    <w:rPr>
      <w:rFonts w:ascii="宋体" w:hAnsi="宋体"/>
      <w:sz w:val="28"/>
      <w:szCs w:val="28"/>
    </w:rPr>
  </w:style>
  <w:style w:type="paragraph" w:customStyle="1" w:styleId="34">
    <w:name w:val="SANGFOR_6_正文"/>
    <w:basedOn w:val="1"/>
    <w:qFormat/>
    <w:uiPriority w:val="0"/>
    <w:pPr>
      <w:ind w:left="640" w:right="240"/>
      <w:jc w:val="left"/>
    </w:pPr>
    <w:rPr>
      <w:b/>
      <w:bCs/>
      <w:sz w:val="20"/>
      <w:szCs w:val="20"/>
    </w:rPr>
  </w:style>
  <w:style w:type="character" w:customStyle="1" w:styleId="35">
    <w:name w:val="批注框文本 Char"/>
    <w:basedOn w:val="18"/>
    <w:link w:val="12"/>
    <w:qFormat/>
    <w:uiPriority w:val="0"/>
    <w:rPr>
      <w:kern w:val="2"/>
      <w:sz w:val="18"/>
      <w:szCs w:val="18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3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3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4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4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Cs w:val="21"/>
    </w:rPr>
  </w:style>
  <w:style w:type="paragraph" w:customStyle="1" w:styleId="5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5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5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5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5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5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5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5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6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6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6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78</Pages>
  <Words>6978</Words>
  <Characters>39781</Characters>
  <Lines>331</Lines>
  <Paragraphs>93</Paragraphs>
  <TotalTime>45</TotalTime>
  <ScaleCrop>false</ScaleCrop>
  <LinksUpToDate>false</LinksUpToDate>
  <CharactersWithSpaces>46666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2020-08-28T03:41:00Z</dcterms:created>
  <dc:creator>Administrator</dc:creator>
  <cp:lastModifiedBy>陆小彬</cp:lastModifiedBy>
  <dcterms:modified xsi:type="dcterms:W3CDTF">2023-12-27T03:56:42Z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57F8528683894EFE8A39BEF88C445FE5_13</vt:lpwstr>
  </property>
</Properties>
</file>