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百色高级中学校园监控设备采购项目清单</w:t>
      </w:r>
    </w:p>
    <w:bookmarkEnd w:id="0"/>
    <w:p>
      <w:pPr>
        <w:shd w:val="clear" w:color="auto" w:fill="FFFFFF" w:themeFill="background1"/>
        <w:ind w:right="420" w:firstLine="420" w:firstLineChars="200"/>
        <w:rPr>
          <w:rFonts w:hint="eastAsia" w:ascii="宋体" w:hAnsi="宋体"/>
          <w:szCs w:val="21"/>
        </w:rPr>
      </w:pPr>
    </w:p>
    <w:p>
      <w:pPr>
        <w:pBdr>
          <w:top w:val="single" w:color="auto" w:sz="4" w:space="1"/>
          <w:left w:val="single" w:color="auto" w:sz="4" w:space="1"/>
          <w:bottom w:val="single" w:color="auto" w:sz="4" w:space="1"/>
          <w:right w:val="single" w:color="auto" w:sz="4" w:space="4"/>
        </w:pBdr>
        <w:shd w:val="clear" w:color="auto" w:fill="FFFFFF" w:themeFill="background1"/>
        <w:ind w:right="420" w:firstLine="420" w:firstLineChars="200"/>
        <w:rPr>
          <w:sz w:val="28"/>
          <w:szCs w:val="28"/>
        </w:rPr>
      </w:pPr>
      <w:r>
        <w:rPr>
          <w:rFonts w:hint="eastAsia" w:ascii="宋体" w:hAnsi="宋体"/>
          <w:szCs w:val="21"/>
        </w:rPr>
        <w:t>▲一、</w:t>
      </w:r>
      <w:r>
        <w:rPr>
          <w:rFonts w:hint="eastAsia" w:ascii="宋体" w:hAnsi="宋体"/>
          <w:b/>
          <w:szCs w:val="21"/>
        </w:rPr>
        <w:t>报价清单</w:t>
      </w:r>
    </w:p>
    <w:tbl>
      <w:tblPr>
        <w:tblStyle w:val="8"/>
        <w:tblW w:w="8565" w:type="dxa"/>
        <w:tblInd w:w="93" w:type="dxa"/>
        <w:tblLayout w:type="autofit"/>
        <w:tblCellMar>
          <w:top w:w="0" w:type="dxa"/>
          <w:left w:w="108" w:type="dxa"/>
          <w:bottom w:w="0" w:type="dxa"/>
          <w:right w:w="108" w:type="dxa"/>
        </w:tblCellMar>
      </w:tblPr>
      <w:tblGrid>
        <w:gridCol w:w="630"/>
        <w:gridCol w:w="1515"/>
        <w:gridCol w:w="3780"/>
        <w:gridCol w:w="1020"/>
        <w:gridCol w:w="960"/>
        <w:gridCol w:w="660"/>
      </w:tblGrid>
      <w:tr>
        <w:tblPrEx>
          <w:tblCellMar>
            <w:top w:w="0" w:type="dxa"/>
            <w:left w:w="108" w:type="dxa"/>
            <w:bottom w:w="0" w:type="dxa"/>
            <w:right w:w="108"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b/>
                <w:bCs/>
                <w:sz w:val="22"/>
                <w:szCs w:val="22"/>
              </w:rPr>
            </w:pPr>
            <w:r>
              <w:rPr>
                <w:rStyle w:val="11"/>
                <w:rFonts w:hint="default"/>
                <w:color w:val="auto"/>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b/>
                <w:bCs/>
                <w:sz w:val="22"/>
                <w:szCs w:val="22"/>
              </w:rPr>
            </w:pPr>
            <w:r>
              <w:rPr>
                <w:rStyle w:val="11"/>
                <w:rFonts w:hint="default"/>
                <w:color w:val="auto"/>
              </w:rPr>
              <w:t>设备名称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b/>
                <w:bCs/>
                <w:sz w:val="22"/>
                <w:szCs w:val="22"/>
              </w:rPr>
            </w:pPr>
            <w:r>
              <w:rPr>
                <w:rStyle w:val="11"/>
                <w:rFonts w:hint="default"/>
                <w:color w:val="auto"/>
              </w:rPr>
              <w:t>规格参数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b/>
                <w:bCs/>
                <w:sz w:val="22"/>
                <w:szCs w:val="22"/>
              </w:rPr>
            </w:pPr>
            <w:r>
              <w:rPr>
                <w:rStyle w:val="11"/>
                <w:rFonts w:hint="default"/>
                <w:color w:val="auto"/>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b/>
                <w:bCs/>
                <w:sz w:val="22"/>
                <w:szCs w:val="22"/>
              </w:rPr>
            </w:pPr>
            <w:r>
              <w:rPr>
                <w:rStyle w:val="11"/>
                <w:rFonts w:hint="default"/>
                <w:color w:val="auto"/>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b/>
                <w:bCs/>
                <w:sz w:val="22"/>
                <w:szCs w:val="22"/>
              </w:rPr>
            </w:pPr>
            <w:r>
              <w:rPr>
                <w:rStyle w:val="11"/>
                <w:rFonts w:hint="default"/>
                <w:color w:val="auto"/>
              </w:rPr>
              <w:t>备注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200万室内半球/枪机摄像头</w:t>
            </w:r>
          </w:p>
        </w:tc>
        <w:tc>
          <w:tcPr>
            <w:tcW w:w="3780" w:type="dxa"/>
            <w:tcBorders>
              <w:top w:val="nil"/>
              <w:left w:val="nil"/>
              <w:bottom w:val="nil"/>
              <w:right w:val="nil"/>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海康威视红外阵列海螺型网络摄像机，最高分辨率可达200万像素，并在此分辨率下可输出25 fps实时图像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支持移动侦测（支持人形检测）与异常侦测</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支持背光补偿，强光抑制，3D数字降噪，数字宽动态，适应不同环境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采用高效阵列红外灯，使用寿命长，红外照射最远可达30 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1个内置麦克风</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符合IP66防尘防水设计，可靠性高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200万室外半球/枪机摄像头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海康威视红外阵列筒型网络摄像机，最高分辨率可达200万像素，并在此分辨率下可输出25 fps实时图像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支持移动侦测（支持人形检测）与异常侦测</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支持背光补偿，强光抑制，3D数字降噪，数字宽动态，适应不同环境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1个内置麦克风</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采用高效阵列红外灯，使用寿命长，红外照射最远可达50 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符合IP66防尘防水设计，可靠性高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64路16盘位硬盘录像机NVR</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可接驳符合 ONVIF、RTSP 标准及众多主流厂商的网络摄像机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支持H.265、H.264编码的前端设备自适应接入</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支持热成像相机的接入、存储、报警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支持最高1200万像素高清网络视频的预览、存储、回放</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解码性能强劲，支持16路1080P解码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支持HDMI高清4K输出 +VGA高清1080P输出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支持16个SATA接口，最大支持满配12TB硬盘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支持硬盘配额和硬盘盘组两种存储模式，可对不同通道分配不同的录像保存容量或周期</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支持IP设备集中管理，包括IP设备参数配置、信息的导入/导出和升级等功能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支持智能搜索、回放及备份功能，有效提高录像检索与回放效率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支持最大16路多路同步回放</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支持萤石云服务及本地萤石云解绑，可实现手机远程预览回放</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支持萤石、ISUP5.0、GB28181-2016协议上平台，国标协议和ISUP或者国标协议和萤石可以同时开启；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32路8盘位硬盘录像机NVR</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可接驳符合ONVIF、RTSP标准的众多主流厂商网络摄像机；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支持接入H.265、Smart265、H.264、Smart264视频编码码流；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解码性能强劲，最大支持12路1080P解码（开启SVC增强模式后，可提升至16路1080P解码）；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支持800万像素高清网络视频的预览、存储与回放；</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支持HDMI与VGA同/异源输出，HDMI最大支持4K超高清显示输出，VGA支持1080P高清显示输出；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自带8个SATA接口，最大支持满配10T硬盘；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支持IP设备集中管理，包括IP设备一键添加、参数配置、批量升级、导入/导出等；</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最大支持16路本地同步回放；</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针对人、车及事件类型，支持快速回放与检索功能，大幅提升录像回放和检索效率；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支持萤石云服务，通过海康互联APP可实现手机远程预览/回放/配置；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支持萤石、ISUP以及GB28181协议，轻松实现平台接入；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4T监控专用硬盘</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容量：4TB</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格式化容量：4TB</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外形尺寸：3.5 英寸</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高级格式化 (AF)：是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RoHS 符合性：是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数据最大传输速率（主机至/自硬盘持续）：150 MB/s</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转速 (RPM)：IntelliPower</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不可恢复性读取错误（占读取位数）：小于1/〖10〗^14</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工作状态温度（°C，底座铸件上）：0 到 65</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非工作状态温度（°C，底座铸件上）：从-40 到 70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高度（英寸/毫米，最大值）：1.028/26.1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重量（磅/公斤，± 10%）：1.65/0.75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PVC管及辅材</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Cs w:val="21"/>
              </w:rPr>
            </w:pPr>
            <w:r>
              <w:rPr>
                <w:rFonts w:hint="eastAsia" w:ascii="宋体" w:hAnsi="宋体" w:eastAsia="宋体" w:cs="宋体"/>
                <w:kern w:val="0"/>
                <w:szCs w:val="21"/>
              </w:rPr>
              <w:t>1、PVC材料；规格：DN20</w:t>
            </w:r>
            <w:r>
              <w:rPr>
                <w:rFonts w:hint="eastAsia" w:ascii="宋体" w:hAnsi="宋体" w:eastAsia="宋体" w:cs="宋体"/>
                <w:kern w:val="0"/>
                <w:szCs w:val="21"/>
              </w:rPr>
              <w:br w:type="textWrapping"/>
            </w:r>
            <w:r>
              <w:rPr>
                <w:rFonts w:hint="eastAsia" w:ascii="宋体" w:hAnsi="宋体" w:eastAsia="宋体" w:cs="宋体"/>
                <w:kern w:val="0"/>
                <w:szCs w:val="21"/>
              </w:rPr>
              <w:t>含安装人工费用，施工标准、质量按国家相关标准执行。</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219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监控立杆</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Cs w:val="21"/>
              </w:rPr>
            </w:pPr>
            <w:r>
              <w:rPr>
                <w:rFonts w:hint="eastAsia" w:ascii="宋体" w:hAnsi="宋体" w:eastAsia="宋体" w:cs="宋体"/>
                <w:kern w:val="0"/>
                <w:szCs w:val="21"/>
              </w:rPr>
              <w:t>3.5米高，定制配套，含预埋件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监控立杆混凝土基础</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定制500*500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超六类网线</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Fonts w:hint="eastAsia" w:ascii="宋体" w:hAnsi="宋体" w:eastAsia="宋体" w:cs="宋体"/>
                <w:kern w:val="0"/>
                <w:sz w:val="22"/>
                <w:szCs w:val="22"/>
              </w:rPr>
              <w:t>该线缆采用无氧铜芯，直流电阻小，传输损耗小；护套采用环保阻燃聚氯乙烯（PVC）材质，抗拉强度高，安全系数强；线缆采用高密度双绞结构，线对之间串扰小。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支持千兆以太网信号传输。</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无氧铜芯，直流电阻小，信号衰减小。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PVC护套，耐磨、抗拉强度高。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阻燃线缆，有国缆检验中心测试报告。</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均匀双绞结构，有效降低干扰，确保信号传输质量。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符合RoHS 2.0 和Reach认证。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产品性能稳定，有国缆检验中心测试报告。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14000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室内半球/枪机摄像头人工费</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Style w:val="12"/>
                <w:rFonts w:hint="default"/>
                <w:color w:val="auto"/>
              </w:rPr>
              <w:t>定制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themeFill="background1"/>
              <w:jc w:val="center"/>
              <w:rPr>
                <w:rFonts w:ascii="宋体" w:hAnsi="宋体" w:eastAsia="宋体" w:cs="宋体"/>
                <w:sz w:val="22"/>
                <w:szCs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室外半球/枪机摄像头人工费</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eastAsia="宋体" w:cs="宋体"/>
                <w:sz w:val="22"/>
                <w:szCs w:val="22"/>
              </w:rPr>
            </w:pPr>
            <w:r>
              <w:rPr>
                <w:rStyle w:val="12"/>
                <w:rFonts w:hint="default"/>
                <w:color w:val="auto"/>
              </w:rPr>
              <w:t>定制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Fonts w:hint="eastAsia" w:ascii="宋体" w:hAnsi="宋体" w:eastAsia="宋体" w:cs="宋体"/>
                <w:kern w:val="0"/>
                <w:sz w:val="22"/>
                <w:szCs w:val="22"/>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eastAsia="宋体" w:cs="宋体"/>
                <w:sz w:val="22"/>
                <w:szCs w:val="22"/>
              </w:rPr>
            </w:pPr>
            <w:r>
              <w:rPr>
                <w:rStyle w:val="12"/>
                <w:rFonts w:hint="default"/>
                <w:color w:val="auto"/>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FFFFFF" w:themeFill="background1"/>
              <w:rPr>
                <w:rFonts w:ascii="宋体" w:hAnsi="宋体" w:eastAsia="宋体" w:cs="宋体"/>
                <w:sz w:val="22"/>
                <w:szCs w:val="22"/>
              </w:rPr>
            </w:pPr>
          </w:p>
        </w:tc>
      </w:tr>
    </w:tbl>
    <w:p>
      <w:pPr>
        <w:shd w:val="clear" w:color="auto" w:fill="FFFFFF" w:themeFill="background1"/>
      </w:pPr>
    </w:p>
    <w:tbl>
      <w:tblPr>
        <w:tblStyle w:val="8"/>
        <w:tblpPr w:leftFromText="180" w:rightFromText="180" w:vertAnchor="text" w:horzAnchor="page" w:tblpX="1695" w:tblpY="139"/>
        <w:tblOverlap w:val="never"/>
        <w:tblW w:w="87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7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72" w:type="dxa"/>
            <w:gridSpan w:val="2"/>
            <w:tcBorders>
              <w:top w:val="single" w:color="auto" w:sz="4" w:space="0"/>
              <w:left w:val="single" w:color="auto" w:sz="4" w:space="0"/>
              <w:bottom w:val="single" w:color="auto" w:sz="4" w:space="0"/>
              <w:right w:val="single" w:color="auto" w:sz="4" w:space="0"/>
            </w:tcBorders>
          </w:tcPr>
          <w:p>
            <w:pPr>
              <w:shd w:val="clear" w:color="auto" w:fill="FFFFFF" w:themeFill="background1"/>
              <w:spacing w:line="360" w:lineRule="auto"/>
              <w:rPr>
                <w:rFonts w:ascii="宋体" w:hAnsi="宋体"/>
                <w:szCs w:val="21"/>
              </w:rPr>
            </w:pPr>
            <w:r>
              <w:rPr>
                <w:rFonts w:hint="eastAsia" w:ascii="宋体" w:hAnsi="宋体"/>
                <w:szCs w:val="21"/>
              </w:rPr>
              <w:t>▲二、</w:t>
            </w:r>
            <w:r>
              <w:rPr>
                <w:rFonts w:hint="eastAsia" w:ascii="宋体" w:hAnsi="宋体"/>
                <w:b/>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宋体" w:hAnsi="宋体"/>
                <w:szCs w:val="21"/>
              </w:rPr>
            </w:pPr>
            <w:r>
              <w:rPr>
                <w:rFonts w:hint="eastAsia" w:ascii="宋体" w:hAnsi="宋体"/>
                <w:szCs w:val="21"/>
              </w:rPr>
              <w:t>售后服务要求</w:t>
            </w:r>
          </w:p>
        </w:tc>
        <w:tc>
          <w:tcPr>
            <w:tcW w:w="7041" w:type="dxa"/>
            <w:tcBorders>
              <w:top w:val="single" w:color="auto" w:sz="4" w:space="0"/>
              <w:left w:val="single" w:color="auto" w:sz="4" w:space="0"/>
              <w:bottom w:val="single" w:color="auto" w:sz="4" w:space="0"/>
              <w:right w:val="single" w:color="auto" w:sz="4" w:space="0"/>
            </w:tcBorders>
          </w:tcPr>
          <w:p>
            <w:pPr>
              <w:shd w:val="clear" w:color="auto" w:fill="FFFFFF" w:themeFill="background1"/>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质保期：按国家有关产品“三包”规定执行“三包”，质保期除特别注明外，最短不得少于</w:t>
            </w:r>
            <w:r>
              <w:rPr>
                <w:rFonts w:ascii="宋体" w:hAnsi="宋体"/>
                <w:szCs w:val="21"/>
                <w:u w:val="single"/>
              </w:rPr>
              <w:t xml:space="preserve"> </w:t>
            </w:r>
            <w:r>
              <w:rPr>
                <w:rFonts w:hint="eastAsia" w:ascii="宋体" w:hAnsi="宋体"/>
                <w:szCs w:val="21"/>
                <w:u w:val="single"/>
              </w:rPr>
              <w:t xml:space="preserve">壹 </w:t>
            </w:r>
            <w:r>
              <w:rPr>
                <w:rFonts w:hint="eastAsia" w:ascii="宋体" w:hAnsi="宋体"/>
                <w:szCs w:val="21"/>
              </w:rPr>
              <w:t>年。质保期内负责上门服务、维修、更换配件，不得收取任何费用。</w:t>
            </w:r>
          </w:p>
          <w:p>
            <w:pPr>
              <w:shd w:val="clear" w:color="auto" w:fill="FFFFFF" w:themeFill="background1"/>
              <w:spacing w:line="360" w:lineRule="auto"/>
              <w:rPr>
                <w:rFonts w:ascii="宋体" w:hAnsi="宋体"/>
                <w:szCs w:val="21"/>
              </w:rPr>
            </w:pPr>
            <w:r>
              <w:rPr>
                <w:rFonts w:ascii="宋体" w:hAnsi="宋体"/>
                <w:szCs w:val="21"/>
              </w:rPr>
              <w:t>2.</w:t>
            </w:r>
            <w:r>
              <w:rPr>
                <w:rFonts w:hint="eastAsia" w:ascii="宋体" w:hAnsi="宋体"/>
                <w:szCs w:val="21"/>
              </w:rPr>
              <w:t>售后服务费用包含在报价中，售后服务内容如下：</w:t>
            </w:r>
            <w:r>
              <w:rPr>
                <w:rFonts w:ascii="宋体" w:hAnsi="宋体"/>
                <w:szCs w:val="21"/>
              </w:rPr>
              <w:t xml:space="preserve"> </w:t>
            </w:r>
          </w:p>
          <w:p>
            <w:pPr>
              <w:shd w:val="clear" w:color="auto" w:fill="FFFFFF" w:themeFill="background1"/>
              <w:spacing w:line="360" w:lineRule="auto"/>
              <w:rPr>
                <w:rFonts w:ascii="宋体" w:hAnsi="宋体"/>
                <w:szCs w:val="21"/>
              </w:rPr>
            </w:pPr>
            <w:r>
              <w:rPr>
                <w:rFonts w:hint="eastAsia" w:ascii="宋体" w:hAnsi="宋体"/>
                <w:szCs w:val="21"/>
              </w:rPr>
              <w:t>（1）负责送货上门，安装调试，培训操作人员。</w:t>
            </w:r>
          </w:p>
          <w:p>
            <w:pPr>
              <w:shd w:val="clear" w:color="auto" w:fill="FFFFFF" w:themeFill="background1"/>
              <w:spacing w:line="36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）不能正常使用的必须提供备用机。</w:t>
            </w:r>
          </w:p>
          <w:p>
            <w:pPr>
              <w:shd w:val="clear" w:color="auto" w:fill="FFFFFF" w:themeFill="background1"/>
              <w:spacing w:line="360" w:lineRule="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）定期回访以及对设备维修。</w:t>
            </w:r>
          </w:p>
          <w:p>
            <w:pPr>
              <w:shd w:val="clear" w:color="auto" w:fill="FFFFFF" w:themeFill="background1"/>
              <w:spacing w:line="360" w:lineRule="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）其余按厂家承诺。</w:t>
            </w:r>
          </w:p>
          <w:p>
            <w:pPr>
              <w:shd w:val="clear" w:color="auto" w:fill="FFFFFF" w:themeFill="background1"/>
              <w:spacing w:line="360" w:lineRule="auto"/>
              <w:rPr>
                <w:rFonts w:ascii="宋体" w:hAnsi="宋体"/>
                <w:szCs w:val="21"/>
              </w:rPr>
            </w:pPr>
            <w:r>
              <w:rPr>
                <w:rFonts w:hint="eastAsia" w:ascii="宋体" w:hAnsi="宋体"/>
                <w:szCs w:val="21"/>
              </w:rPr>
              <w:t>3. 接到故障通知后4小时内到达现场维修。设备如果出现特殊情况在6小时内不能解决，供应商须提供与原设备技术参数要求相同或高于原设备技术参数要求的备用产品，以保证采购人的正常工作；</w:t>
            </w:r>
          </w:p>
          <w:p>
            <w:pPr>
              <w:shd w:val="clear" w:color="auto" w:fill="FFFFFF" w:themeFill="background1"/>
              <w:spacing w:line="360" w:lineRule="auto"/>
              <w:rPr>
                <w:rFonts w:ascii="宋体" w:hAnsi="宋体"/>
                <w:szCs w:val="21"/>
              </w:rPr>
            </w:pPr>
            <w:r>
              <w:rPr>
                <w:rFonts w:hint="eastAsia" w:ascii="宋体" w:hAnsi="宋体"/>
                <w:szCs w:val="21"/>
              </w:rPr>
              <w:t>4. 质保期内免费维修、更换配件。质保期满后提供终身有偿维修、保养服务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宋体" w:hAnsi="宋体"/>
                <w:szCs w:val="21"/>
              </w:rPr>
            </w:pPr>
            <w:r>
              <w:rPr>
                <w:rFonts w:hint="eastAsia" w:ascii="宋体" w:hAnsi="宋体"/>
                <w:szCs w:val="21"/>
              </w:rPr>
              <w:t>合同签订时间</w:t>
            </w:r>
          </w:p>
        </w:tc>
        <w:tc>
          <w:tcPr>
            <w:tcW w:w="704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rPr>
                <w:rFonts w:ascii="宋体" w:hAnsi="宋体"/>
                <w:szCs w:val="21"/>
              </w:rPr>
            </w:pPr>
            <w:r>
              <w:rPr>
                <w:rFonts w:hint="eastAsia" w:ascii="宋体" w:hAnsi="宋体"/>
                <w:szCs w:val="21"/>
              </w:rPr>
              <w:t>自成交通知书发出之日起</w:t>
            </w:r>
            <w:r>
              <w:rPr>
                <w:rFonts w:hint="eastAsia" w:ascii="宋体" w:hAnsi="宋体"/>
                <w:szCs w:val="21"/>
                <w:u w:val="single"/>
              </w:rPr>
              <w:t xml:space="preserve"> 15 </w:t>
            </w:r>
            <w:r>
              <w:rPr>
                <w:rFonts w:hint="eastAsia" w:ascii="宋体" w:hAnsi="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宋体" w:hAnsi="宋体"/>
                <w:szCs w:val="21"/>
              </w:rPr>
            </w:pPr>
            <w:r>
              <w:rPr>
                <w:rFonts w:hint="eastAsia" w:ascii="宋体" w:hAnsi="宋体"/>
                <w:szCs w:val="21"/>
              </w:rPr>
              <w:t>交付时间及地点</w:t>
            </w:r>
          </w:p>
        </w:tc>
        <w:tc>
          <w:tcPr>
            <w:tcW w:w="704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rPr>
                <w:rFonts w:ascii="宋体" w:hAnsi="宋体"/>
                <w:szCs w:val="21"/>
              </w:rPr>
            </w:pPr>
            <w:r>
              <w:rPr>
                <w:rFonts w:hint="eastAsia" w:ascii="宋体" w:hAnsi="宋体"/>
                <w:szCs w:val="21"/>
              </w:rPr>
              <w:t>1.交付时间：自签订合同之日起</w:t>
            </w:r>
            <w:r>
              <w:rPr>
                <w:rFonts w:hint="eastAsia" w:ascii="宋体" w:hAnsi="宋体"/>
                <w:szCs w:val="21"/>
                <w:u w:val="single"/>
              </w:rPr>
              <w:t xml:space="preserve"> 30 </w:t>
            </w:r>
            <w:r>
              <w:rPr>
                <w:rFonts w:hint="eastAsia" w:ascii="宋体" w:hAnsi="宋体"/>
                <w:szCs w:val="21"/>
              </w:rPr>
              <w:t>个工作日内交付使用。</w:t>
            </w:r>
          </w:p>
          <w:p>
            <w:pPr>
              <w:shd w:val="clear" w:color="auto" w:fill="FFFFFF" w:themeFill="background1"/>
              <w:spacing w:line="360" w:lineRule="auto"/>
              <w:rPr>
                <w:rFonts w:ascii="宋体" w:hAnsi="宋体"/>
                <w:szCs w:val="21"/>
              </w:rPr>
            </w:pPr>
            <w:r>
              <w:rPr>
                <w:rFonts w:hint="eastAsia" w:ascii="宋体" w:hAnsi="宋体"/>
                <w:szCs w:val="21"/>
              </w:rPr>
              <w:t>2.交付地点：</w:t>
            </w:r>
            <w:r>
              <w:rPr>
                <w:rFonts w:hint="eastAsia" w:ascii="宋体" w:hAnsi="宋体" w:cs="宋体"/>
                <w:szCs w:val="21"/>
              </w:rPr>
              <w:t>百色高级中学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jc w:val="center"/>
              <w:textAlignment w:val="center"/>
              <w:rPr>
                <w:rFonts w:ascii="宋体" w:hAnsi="宋体" w:cs="宋体"/>
                <w:kern w:val="0"/>
                <w:szCs w:val="21"/>
              </w:rPr>
            </w:pPr>
            <w:r>
              <w:rPr>
                <w:rFonts w:hint="eastAsia" w:ascii="宋体" w:hAnsi="宋体" w:cs="宋体"/>
                <w:szCs w:val="21"/>
              </w:rPr>
              <w:t>验收要求</w:t>
            </w:r>
          </w:p>
        </w:tc>
        <w:tc>
          <w:tcPr>
            <w:tcW w:w="704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rPr>
                <w:rFonts w:ascii="宋体" w:hAnsi="宋体" w:cs="宋体"/>
                <w:szCs w:val="21"/>
              </w:rPr>
            </w:pPr>
            <w:r>
              <w:rPr>
                <w:rFonts w:hint="eastAsia" w:ascii="宋体" w:hAnsi="宋体" w:cs="宋体"/>
                <w:kern w:val="0"/>
                <w:szCs w:val="21"/>
              </w:rPr>
              <w:t>现场验收。</w:t>
            </w:r>
            <w:r>
              <w:rPr>
                <w:rFonts w:hint="eastAsia" w:ascii="宋体" w:hAnsi="宋体"/>
                <w:szCs w:val="21"/>
              </w:rPr>
              <w:t>现场拆封、安装、调试，验货时严格按照招标文件参数要求及竞标人竞标时承诺的参数进行验货，成交方所供货物必须与招标文件要求的技术参数相符，否则采购方有权拒收货物，直至终止合同，由此造成的一切损失由成交方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3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jc w:val="center"/>
              <w:textAlignment w:val="center"/>
              <w:rPr>
                <w:rFonts w:ascii="宋体" w:hAnsi="宋体" w:cs="宋体"/>
                <w:kern w:val="0"/>
                <w:szCs w:val="21"/>
              </w:rPr>
            </w:pPr>
            <w:r>
              <w:rPr>
                <w:rFonts w:hint="eastAsia" w:ascii="宋体" w:hAnsi="宋体" w:cs="宋体"/>
                <w:szCs w:val="21"/>
              </w:rPr>
              <w:t>付款方式</w:t>
            </w:r>
          </w:p>
        </w:tc>
        <w:tc>
          <w:tcPr>
            <w:tcW w:w="704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rPr>
                <w:rFonts w:ascii="宋体" w:hAnsi="宋体" w:cs="宋体"/>
                <w:szCs w:val="21"/>
              </w:rPr>
            </w:pPr>
            <w:r>
              <w:rPr>
                <w:rFonts w:hint="eastAsia" w:ascii="宋体" w:hAnsi="宋体" w:cs="宋体"/>
                <w:szCs w:val="21"/>
              </w:rPr>
              <w:t>签订合同后5个工作日内支付第一笔合同金额的</w:t>
            </w:r>
            <w:r>
              <w:rPr>
                <w:rFonts w:hint="eastAsia" w:ascii="宋体" w:hAnsi="宋体" w:cs="宋体"/>
                <w:color w:val="FF0000"/>
                <w:szCs w:val="21"/>
              </w:rPr>
              <w:t>50</w:t>
            </w:r>
            <w:r>
              <w:rPr>
                <w:rFonts w:hint="eastAsia" w:ascii="宋体" w:hAnsi="宋体" w:cs="宋体"/>
                <w:szCs w:val="21"/>
              </w:rPr>
              <w:t>%，验收合格后付完剩余款项。</w:t>
            </w:r>
          </w:p>
        </w:tc>
      </w:tr>
    </w:tbl>
    <w:p>
      <w:pPr>
        <w:shd w:val="clear" w:color="auto" w:fill="FFFFFF" w:themeFill="background1"/>
        <w:rPr>
          <w:sz w:val="28"/>
          <w:szCs w:val="28"/>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1064"/>
      <w:docPartObj>
        <w:docPartGallery w:val="autotext"/>
      </w:docPartObj>
    </w:sdtPr>
    <w:sdtContent>
      <w:p>
        <w:pPr>
          <w:pStyle w:val="6"/>
          <w:jc w:val="right"/>
        </w:pPr>
        <w:r>
          <w:fldChar w:fldCharType="begin"/>
        </w:r>
        <w:r>
          <w:instrText xml:space="preserve"> PAGE   \* MERGEFORMAT </w:instrText>
        </w:r>
        <w:r>
          <w:fldChar w:fldCharType="separate"/>
        </w:r>
        <w:r>
          <w:rPr>
            <w:lang w:val="zh-CN"/>
          </w:rPr>
          <w:t>-</w:t>
        </w:r>
        <w:r>
          <w:t xml:space="preserve"> 4 -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zNjOWEwMjRkMjM4MGQ0OTdmNTQ5ODFhNDIxMGYifQ=="/>
  </w:docVars>
  <w:rsids>
    <w:rsidRoot w:val="3BE86985"/>
    <w:rsid w:val="000C57AC"/>
    <w:rsid w:val="000E4C4E"/>
    <w:rsid w:val="001E26F7"/>
    <w:rsid w:val="00280B20"/>
    <w:rsid w:val="002866C8"/>
    <w:rsid w:val="002874F2"/>
    <w:rsid w:val="003215E3"/>
    <w:rsid w:val="005203E8"/>
    <w:rsid w:val="00524F88"/>
    <w:rsid w:val="00567A8C"/>
    <w:rsid w:val="00572A7E"/>
    <w:rsid w:val="00592086"/>
    <w:rsid w:val="00660ECE"/>
    <w:rsid w:val="006C67A5"/>
    <w:rsid w:val="00746CFB"/>
    <w:rsid w:val="007533E0"/>
    <w:rsid w:val="00842CD3"/>
    <w:rsid w:val="0086272F"/>
    <w:rsid w:val="008912BF"/>
    <w:rsid w:val="00A9230B"/>
    <w:rsid w:val="00AC7F33"/>
    <w:rsid w:val="00B77BF4"/>
    <w:rsid w:val="00C775FD"/>
    <w:rsid w:val="00CA61DB"/>
    <w:rsid w:val="00CC572A"/>
    <w:rsid w:val="00D80E0B"/>
    <w:rsid w:val="00DC315D"/>
    <w:rsid w:val="00EA3AA7"/>
    <w:rsid w:val="00F77CEC"/>
    <w:rsid w:val="05172669"/>
    <w:rsid w:val="05852C9D"/>
    <w:rsid w:val="05B247BF"/>
    <w:rsid w:val="075A2585"/>
    <w:rsid w:val="25182BE2"/>
    <w:rsid w:val="2CB45EBE"/>
    <w:rsid w:val="3A974416"/>
    <w:rsid w:val="3BE86985"/>
    <w:rsid w:val="3C920BB5"/>
    <w:rsid w:val="3E5E19D5"/>
    <w:rsid w:val="439F4D11"/>
    <w:rsid w:val="48B30342"/>
    <w:rsid w:val="4F1E08DD"/>
    <w:rsid w:val="503C55AF"/>
    <w:rsid w:val="58A7271D"/>
    <w:rsid w:val="5B2C7AC6"/>
    <w:rsid w:val="5D7E7207"/>
    <w:rsid w:val="5EE0439E"/>
    <w:rsid w:val="6454481E"/>
    <w:rsid w:val="6E1A0787"/>
    <w:rsid w:val="7110561A"/>
    <w:rsid w:val="72851BFC"/>
    <w:rsid w:val="7A3B4D90"/>
    <w:rsid w:val="7BDA3403"/>
    <w:rsid w:val="7D63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annotation text"/>
    <w:basedOn w:val="1"/>
    <w:qFormat/>
    <w:uiPriority w:val="0"/>
    <w:pPr>
      <w:jc w:val="left"/>
    </w:pPr>
  </w:style>
  <w:style w:type="paragraph" w:styleId="5">
    <w:name w:val="Balloon Text"/>
    <w:basedOn w:val="1"/>
    <w:link w:val="15"/>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uiPriority w:val="0"/>
    <w:rPr>
      <w:color w:val="0026E5" w:themeColor="hyperlink"/>
      <w:u w:val="single"/>
    </w:rPr>
  </w:style>
  <w:style w:type="character" w:customStyle="1" w:styleId="11">
    <w:name w:val="font11"/>
    <w:basedOn w:val="9"/>
    <w:uiPriority w:val="0"/>
    <w:rPr>
      <w:rFonts w:hint="eastAsia" w:ascii="宋体" w:hAnsi="宋体" w:eastAsia="宋体" w:cs="宋体"/>
      <w:b/>
      <w:bCs/>
      <w:color w:val="000000"/>
      <w:sz w:val="22"/>
      <w:szCs w:val="22"/>
      <w:u w:val="none"/>
    </w:rPr>
  </w:style>
  <w:style w:type="character" w:customStyle="1" w:styleId="12">
    <w:name w:val="font21"/>
    <w:basedOn w:val="9"/>
    <w:qFormat/>
    <w:uiPriority w:val="0"/>
    <w:rPr>
      <w:rFonts w:hint="eastAsia" w:ascii="宋体" w:hAnsi="宋体" w:eastAsia="宋体" w:cs="宋体"/>
      <w:color w:val="000000"/>
      <w:sz w:val="22"/>
      <w:szCs w:val="22"/>
      <w:u w:val="none"/>
    </w:rPr>
  </w:style>
  <w:style w:type="character" w:customStyle="1" w:styleId="13">
    <w:name w:val="页脚 Char"/>
    <w:basedOn w:val="9"/>
    <w:link w:val="6"/>
    <w:uiPriority w:val="99"/>
    <w:rPr>
      <w:rFonts w:asciiTheme="minorHAnsi" w:hAnsiTheme="minorHAnsi" w:eastAsiaTheme="minorEastAsia" w:cstheme="minorBidi"/>
      <w:kern w:val="2"/>
      <w:sz w:val="18"/>
      <w:szCs w:val="24"/>
    </w:rPr>
  </w:style>
  <w:style w:type="character" w:customStyle="1" w:styleId="14">
    <w:name w:val="页眉 Char"/>
    <w:basedOn w:val="9"/>
    <w:link w:val="2"/>
    <w:uiPriority w:val="99"/>
    <w:rPr>
      <w:rFonts w:asciiTheme="minorHAnsi" w:hAnsiTheme="minorHAnsi" w:eastAsiaTheme="minorEastAsia" w:cstheme="minorBidi"/>
      <w:sz w:val="18"/>
      <w:szCs w:val="18"/>
    </w:rPr>
  </w:style>
  <w:style w:type="character" w:customStyle="1" w:styleId="15">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576</Words>
  <Characters>3285</Characters>
  <Lines>27</Lines>
  <Paragraphs>7</Paragraphs>
  <TotalTime>4</TotalTime>
  <ScaleCrop>false</ScaleCrop>
  <LinksUpToDate>false</LinksUpToDate>
  <CharactersWithSpaces>3854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2023-11-01T11:16:00Z</dcterms:created>
  <dc:creator>十年</dc:creator>
  <cp:lastModifiedBy>陆小彬</cp:lastModifiedBy>
  <dcterms:modified xsi:type="dcterms:W3CDTF">2023-11-14T08:48:21Z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AE63189F88FE45ADB98C857826B0566C_13</vt:lpwstr>
  </property>
</Properties>
</file>